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33799" w14:textId="77777777" w:rsidR="00887C18" w:rsidRPr="00887C18" w:rsidRDefault="00887C18" w:rsidP="00887C18">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887C18">
        <w:rPr>
          <w:rFonts w:ascii="Myriad Pro" w:eastAsia="Times New Roman" w:hAnsi="Myriad Pro" w:cs="Myriad Pro"/>
          <w:caps/>
          <w:kern w:val="0"/>
          <w:sz w:val="36"/>
          <w:szCs w:val="20"/>
          <w14:ligatures w14:val="none"/>
        </w:rPr>
        <w:t>22—POpulation ecology</w:t>
      </w:r>
    </w:p>
    <w:p w14:paraId="5FF8CDCF" w14:textId="77777777" w:rsidR="00887C18" w:rsidRPr="00887C18" w:rsidRDefault="00887C18" w:rsidP="00887C18">
      <w:pPr>
        <w:tabs>
          <w:tab w:val="left" w:pos="360"/>
          <w:tab w:val="left" w:pos="720"/>
          <w:tab w:val="left" w:pos="1080"/>
          <w:tab w:val="left" w:pos="1440"/>
          <w:tab w:val="left" w:pos="1800"/>
        </w:tabs>
        <w:spacing w:after="172" w:line="240" w:lineRule="auto"/>
        <w:jc w:val="right"/>
        <w:rPr>
          <w:rFonts w:eastAsia="Times New Roman" w:cs="Calibri"/>
          <w:caps/>
          <w:kern w:val="0"/>
          <w:sz w:val="48"/>
          <w:szCs w:val="48"/>
          <w14:ligatures w14:val="none"/>
        </w:rPr>
      </w:pPr>
      <w:r w:rsidRPr="00887C18">
        <w:rPr>
          <w:rFonts w:eastAsia="Times New Roman" w:cs="Calibri"/>
          <w:caps/>
          <w:kern w:val="0"/>
          <w:sz w:val="48"/>
          <w:szCs w:val="48"/>
          <w14:ligatures w14:val="none"/>
        </w:rPr>
        <w:t>PRE-LAB</w:t>
      </w:r>
    </w:p>
    <w:p w14:paraId="66FC673F" w14:textId="77777777" w:rsidR="00887C18" w:rsidRPr="00887C18" w:rsidRDefault="00887C18" w:rsidP="00887C18">
      <w:pPr>
        <w:rPr>
          <w:sz w:val="24"/>
        </w:rPr>
      </w:pPr>
    </w:p>
    <w:p w14:paraId="7C11CF0C" w14:textId="77777777" w:rsidR="00887C18" w:rsidRPr="00887C18" w:rsidRDefault="00887C18" w:rsidP="00887C18">
      <w:pPr>
        <w:spacing w:before="100" w:beforeAutospacing="1" w:after="100" w:afterAutospacing="1" w:line="240" w:lineRule="auto"/>
        <w:rPr>
          <w:rFonts w:eastAsia="Times New Roman" w:cs="Calibri"/>
          <w:b/>
          <w:bCs/>
          <w:color w:val="202122"/>
          <w:kern w:val="0"/>
          <w:sz w:val="28"/>
          <w:szCs w:val="28"/>
          <w14:ligatures w14:val="none"/>
        </w:rPr>
      </w:pPr>
      <w:r w:rsidRPr="00887C18">
        <w:rPr>
          <w:rFonts w:eastAsia="Times New Roman" w:cs="Calibri"/>
          <w:b/>
          <w:bCs/>
          <w:color w:val="202122"/>
          <w:kern w:val="0"/>
          <w:sz w:val="28"/>
          <w:szCs w:val="28"/>
          <w14:ligatures w14:val="none"/>
        </w:rPr>
        <w:t>LEARNING GOALS</w:t>
      </w:r>
    </w:p>
    <w:p w14:paraId="52410687" w14:textId="77777777" w:rsidR="00887C18" w:rsidRPr="00887C18" w:rsidRDefault="00887C18" w:rsidP="00887C18">
      <w:pPr>
        <w:spacing w:before="100" w:beforeAutospacing="1" w:after="100" w:afterAutospacing="1" w:line="240" w:lineRule="auto"/>
        <w:rPr>
          <w:rFonts w:eastAsia="Times New Roman" w:cs="Calibri"/>
          <w:color w:val="202122"/>
          <w:kern w:val="0"/>
          <w:sz w:val="24"/>
          <w:szCs w:val="24"/>
          <w14:ligatures w14:val="none"/>
        </w:rPr>
      </w:pPr>
      <w:r w:rsidRPr="00887C18">
        <w:rPr>
          <w:rFonts w:eastAsia="Times New Roman" w:cs="Calibri"/>
          <w:color w:val="202122"/>
          <w:kern w:val="0"/>
          <w:sz w:val="24"/>
          <w:szCs w:val="24"/>
          <w14:ligatures w14:val="none"/>
        </w:rPr>
        <w:t>By the end of this lab, you should be able to do the following: </w:t>
      </w:r>
    </w:p>
    <w:p w14:paraId="23A45CF6" w14:textId="77777777" w:rsidR="00887C18" w:rsidRPr="00887C18" w:rsidRDefault="00887C18" w:rsidP="00887C18">
      <w:pPr>
        <w:numPr>
          <w:ilvl w:val="0"/>
          <w:numId w:val="1"/>
        </w:numPr>
        <w:spacing w:after="0" w:line="240" w:lineRule="auto"/>
        <w:rPr>
          <w:rFonts w:eastAsia="Times New Roman" w:cs="Calibri"/>
          <w:color w:val="202122"/>
          <w:kern w:val="0"/>
          <w:sz w:val="24"/>
          <w:szCs w:val="24"/>
          <w14:ligatures w14:val="none"/>
        </w:rPr>
      </w:pPr>
      <w:r w:rsidRPr="00887C18">
        <w:rPr>
          <w:rFonts w:eastAsia="Times New Roman" w:cs="Calibri"/>
          <w:color w:val="202122"/>
          <w:kern w:val="0"/>
          <w:sz w:val="24"/>
          <w:szCs w:val="24"/>
          <w14:ligatures w14:val="none"/>
        </w:rPr>
        <w:t>Describe the purpose of population ecology.   </w:t>
      </w:r>
    </w:p>
    <w:p w14:paraId="738EFCC4" w14:textId="77777777" w:rsidR="00887C18" w:rsidRPr="00887C18" w:rsidRDefault="00887C18" w:rsidP="00887C18">
      <w:pPr>
        <w:numPr>
          <w:ilvl w:val="0"/>
          <w:numId w:val="2"/>
        </w:numPr>
        <w:spacing w:after="0" w:line="240" w:lineRule="auto"/>
        <w:rPr>
          <w:rFonts w:eastAsia="Times New Roman" w:cs="Calibri"/>
          <w:color w:val="202122"/>
          <w:kern w:val="0"/>
          <w:sz w:val="24"/>
          <w:szCs w:val="24"/>
          <w14:ligatures w14:val="none"/>
        </w:rPr>
      </w:pPr>
      <w:r w:rsidRPr="00887C18">
        <w:rPr>
          <w:rFonts w:eastAsia="Times New Roman" w:cs="Calibri"/>
          <w:color w:val="202122"/>
          <w:kern w:val="0"/>
          <w:sz w:val="24"/>
          <w:szCs w:val="24"/>
          <w14:ligatures w14:val="none"/>
        </w:rPr>
        <w:t>Explain the difference between logistic and exponential growth patterns. </w:t>
      </w:r>
    </w:p>
    <w:p w14:paraId="4F83DC45" w14:textId="77777777" w:rsidR="00887C18" w:rsidRPr="00887C18" w:rsidRDefault="00887C18" w:rsidP="00887C18">
      <w:pPr>
        <w:numPr>
          <w:ilvl w:val="0"/>
          <w:numId w:val="3"/>
        </w:numPr>
        <w:spacing w:after="0" w:line="240" w:lineRule="auto"/>
        <w:rPr>
          <w:rFonts w:eastAsia="Times New Roman" w:cs="Calibri"/>
          <w:color w:val="202122"/>
          <w:kern w:val="0"/>
          <w:sz w:val="24"/>
          <w:szCs w:val="24"/>
          <w14:ligatures w14:val="none"/>
        </w:rPr>
      </w:pPr>
      <w:r w:rsidRPr="00887C18">
        <w:rPr>
          <w:rFonts w:eastAsia="Times New Roman" w:cs="Calibri"/>
          <w:color w:val="202122"/>
          <w:kern w:val="0"/>
          <w:sz w:val="24"/>
          <w:szCs w:val="24"/>
          <w14:ligatures w14:val="none"/>
        </w:rPr>
        <w:t>Describe the carry capacity of a population and how it affects population size. </w:t>
      </w:r>
    </w:p>
    <w:p w14:paraId="10A620A8" w14:textId="77777777" w:rsidR="00887C18" w:rsidRPr="00887C18" w:rsidRDefault="00887C18" w:rsidP="00887C18">
      <w:pPr>
        <w:numPr>
          <w:ilvl w:val="0"/>
          <w:numId w:val="4"/>
        </w:numPr>
        <w:spacing w:after="0" w:line="240" w:lineRule="auto"/>
        <w:rPr>
          <w:rFonts w:eastAsia="Times New Roman" w:cs="Calibri"/>
          <w:color w:val="202122"/>
          <w:kern w:val="0"/>
          <w:sz w:val="24"/>
          <w:szCs w:val="24"/>
          <w14:ligatures w14:val="none"/>
        </w:rPr>
      </w:pPr>
      <w:r w:rsidRPr="00887C18">
        <w:rPr>
          <w:rFonts w:eastAsia="Times New Roman" w:cs="Calibri"/>
          <w:color w:val="202122"/>
          <w:kern w:val="0"/>
          <w:sz w:val="24"/>
          <w:szCs w:val="24"/>
          <w14:ligatures w14:val="none"/>
        </w:rPr>
        <w:t>Compare and contrast density-dependent and density-independent growth regulation. </w:t>
      </w:r>
    </w:p>
    <w:p w14:paraId="503F7B7C" w14:textId="77777777" w:rsidR="00887C18" w:rsidRPr="00887C18" w:rsidRDefault="00887C18" w:rsidP="00887C18">
      <w:pPr>
        <w:numPr>
          <w:ilvl w:val="0"/>
          <w:numId w:val="5"/>
        </w:numPr>
        <w:spacing w:after="0" w:line="240" w:lineRule="auto"/>
        <w:rPr>
          <w:rFonts w:eastAsia="Times New Roman" w:cs="Calibri"/>
          <w:color w:val="202122"/>
          <w:kern w:val="0"/>
          <w:sz w:val="24"/>
          <w:szCs w:val="24"/>
          <w14:ligatures w14:val="none"/>
        </w:rPr>
      </w:pPr>
      <w:r w:rsidRPr="00887C18">
        <w:rPr>
          <w:rFonts w:eastAsia="Times New Roman" w:cs="Calibri"/>
          <w:color w:val="202122"/>
          <w:kern w:val="0"/>
          <w:sz w:val="24"/>
          <w:szCs w:val="24"/>
          <w14:ligatures w14:val="none"/>
        </w:rPr>
        <w:t>Use a simulation to observe the effect of abiotic and biotic factors on population size.  </w:t>
      </w:r>
    </w:p>
    <w:p w14:paraId="2E713591" w14:textId="77777777" w:rsidR="00887C18" w:rsidRPr="00887C18" w:rsidRDefault="00887C18" w:rsidP="00887C18">
      <w:pPr>
        <w:spacing w:before="100" w:beforeAutospacing="1" w:after="100" w:afterAutospacing="1" w:line="240" w:lineRule="auto"/>
        <w:rPr>
          <w:rFonts w:eastAsiaTheme="majorEastAsia" w:cs="Calibri"/>
          <w:color w:val="202122"/>
          <w:kern w:val="0"/>
          <w:sz w:val="28"/>
          <w:szCs w:val="28"/>
          <w14:ligatures w14:val="none"/>
        </w:rPr>
      </w:pPr>
      <w:r w:rsidRPr="00887C18">
        <w:rPr>
          <w:rFonts w:eastAsiaTheme="majorEastAsia" w:cs="Calibri"/>
          <w:bCs/>
          <w:noProof/>
          <w:color w:val="202122"/>
          <w:kern w:val="0"/>
          <w:sz w:val="28"/>
          <w:szCs w:val="28"/>
        </w:rPr>
        <w:pict w14:anchorId="5291D393">
          <v:rect id="_x0000_i1025" alt="" style="width:468pt;height:.05pt;mso-width-percent:0;mso-height-percent:0;mso-width-percent:0;mso-height-percent:0" o:hralign="center" o:hrstd="t" o:hr="t" fillcolor="#a0a0a0" stroked="f"/>
        </w:pict>
      </w:r>
    </w:p>
    <w:p w14:paraId="4820B645" w14:textId="77777777" w:rsidR="00887C18" w:rsidRPr="00887C18" w:rsidRDefault="00887C18" w:rsidP="00887C18">
      <w:pPr>
        <w:spacing w:before="100" w:beforeAutospacing="1" w:after="100" w:afterAutospacing="1" w:line="240" w:lineRule="auto"/>
        <w:rPr>
          <w:rFonts w:eastAsia="Times New Roman" w:cs="Calibri"/>
          <w:color w:val="202122"/>
          <w:kern w:val="0"/>
          <w:sz w:val="28"/>
          <w:szCs w:val="28"/>
          <w14:ligatures w14:val="none"/>
        </w:rPr>
      </w:pPr>
      <w:r w:rsidRPr="00887C18">
        <w:rPr>
          <w:rFonts w:eastAsiaTheme="majorEastAsia" w:cs="Calibri"/>
          <w:b/>
          <w:bCs/>
          <w:color w:val="202122"/>
          <w:kern w:val="0"/>
          <w:sz w:val="28"/>
          <w:szCs w:val="28"/>
          <w14:ligatures w14:val="none"/>
        </w:rPr>
        <w:t>POPULATION ECOLOGY</w:t>
      </w:r>
    </w:p>
    <w:p w14:paraId="29FD508E" w14:textId="77777777" w:rsidR="00887C18" w:rsidRPr="00887C18" w:rsidRDefault="00887C18" w:rsidP="00887C18">
      <w:pPr>
        <w:spacing w:before="100" w:beforeAutospacing="1" w:after="100" w:afterAutospacing="1" w:line="240" w:lineRule="auto"/>
        <w:jc w:val="both"/>
        <w:rPr>
          <w:rFonts w:eastAsia="Times New Roman" w:cs="Calibri"/>
          <w:color w:val="202122"/>
          <w:kern w:val="0"/>
          <w:sz w:val="24"/>
          <w:szCs w:val="24"/>
          <w14:ligatures w14:val="none"/>
        </w:rPr>
      </w:pPr>
      <w:r w:rsidRPr="00887C18">
        <w:rPr>
          <w:rFonts w:eastAsia="Times New Roman" w:cs="Calibri"/>
          <w:color w:val="202122"/>
          <w:kern w:val="0"/>
          <w:sz w:val="24"/>
          <w:szCs w:val="24"/>
          <w14:ligatures w14:val="none"/>
        </w:rPr>
        <w:t>Ecologists like to study populations based on how the needs of that population are provided by the habitat they live in. The better those needs are met, the larger the population should be. While a population is defined as all members of a species living in one location, sometimes we expand that view a bit to include several related populations that have related needs. So, instead of studying just a population of robins in a location, we might study the “Songbird Population” in an area. Many of the needs of robins are common to all songbirds, so we often study them as a group. </w:t>
      </w:r>
    </w:p>
    <w:p w14:paraId="7608291B" w14:textId="77777777" w:rsidR="00887C18" w:rsidRPr="00887C18" w:rsidRDefault="00887C18" w:rsidP="00887C18">
      <w:pPr>
        <w:spacing w:before="100" w:beforeAutospacing="1" w:after="100" w:afterAutospacing="1" w:line="240" w:lineRule="auto"/>
        <w:rPr>
          <w:rFonts w:eastAsia="Times New Roman" w:cs="Calibri"/>
          <w:color w:val="202122"/>
          <w:kern w:val="0"/>
          <w:sz w:val="28"/>
          <w:szCs w:val="28"/>
          <w14:ligatures w14:val="none"/>
        </w:rPr>
      </w:pPr>
      <w:r w:rsidRPr="00887C18">
        <w:rPr>
          <w:rFonts w:eastAsiaTheme="majorEastAsia" w:cs="Calibri"/>
          <w:b/>
          <w:bCs/>
          <w:color w:val="202122"/>
          <w:kern w:val="0"/>
          <w:sz w:val="28"/>
          <w:szCs w:val="28"/>
          <w14:ligatures w14:val="none"/>
        </w:rPr>
        <w:t>POPULATION SIZE</w:t>
      </w:r>
    </w:p>
    <w:p w14:paraId="321DE2A0" w14:textId="77777777" w:rsidR="00887C18" w:rsidRPr="00887C18" w:rsidRDefault="00887C18" w:rsidP="00887C18">
      <w:pPr>
        <w:spacing w:before="100" w:beforeAutospacing="1" w:after="100" w:afterAutospacing="1" w:line="240" w:lineRule="auto"/>
        <w:jc w:val="both"/>
        <w:rPr>
          <w:rFonts w:eastAsia="Times New Roman" w:cs="Calibri"/>
          <w:color w:val="202122"/>
          <w:kern w:val="0"/>
          <w:sz w:val="24"/>
          <w:szCs w:val="24"/>
          <w14:ligatures w14:val="none"/>
        </w:rPr>
      </w:pPr>
      <w:r w:rsidRPr="00887C18">
        <w:rPr>
          <w:rFonts w:eastAsia="Times New Roman" w:cs="Calibri"/>
          <w:color w:val="202122"/>
          <w:kern w:val="0"/>
          <w:sz w:val="24"/>
          <w:szCs w:val="24"/>
          <w14:ligatures w14:val="none"/>
        </w:rPr>
        <w:t xml:space="preserve">The </w:t>
      </w:r>
      <w:r w:rsidRPr="00887C18">
        <w:rPr>
          <w:rFonts w:eastAsia="Times New Roman" w:cs="Calibri"/>
          <w:b/>
          <w:bCs/>
          <w:color w:val="202122"/>
          <w:kern w:val="0"/>
          <w:sz w:val="24"/>
          <w:szCs w:val="24"/>
          <w14:ligatures w14:val="none"/>
        </w:rPr>
        <w:t>size</w:t>
      </w:r>
      <w:r w:rsidRPr="00887C18">
        <w:rPr>
          <w:rFonts w:eastAsia="Times New Roman" w:cs="Calibri"/>
          <w:color w:val="202122"/>
          <w:kern w:val="0"/>
          <w:sz w:val="24"/>
          <w:szCs w:val="24"/>
          <w14:ligatures w14:val="none"/>
        </w:rPr>
        <w:t xml:space="preserve"> (total number of individuals) and the </w:t>
      </w:r>
      <w:r w:rsidRPr="00887C18">
        <w:rPr>
          <w:rFonts w:eastAsia="Times New Roman" w:cs="Calibri"/>
          <w:b/>
          <w:bCs/>
          <w:color w:val="202122"/>
          <w:kern w:val="0"/>
          <w:sz w:val="24"/>
          <w:szCs w:val="24"/>
          <w14:ligatures w14:val="none"/>
        </w:rPr>
        <w:t>density</w:t>
      </w:r>
      <w:r w:rsidRPr="00887C18">
        <w:rPr>
          <w:rFonts w:eastAsia="Times New Roman" w:cs="Calibri"/>
          <w:color w:val="202122"/>
          <w:kern w:val="0"/>
          <w:sz w:val="24"/>
          <w:szCs w:val="24"/>
          <w14:ligatures w14:val="none"/>
        </w:rPr>
        <w:t xml:space="preserve"> (number of individuals per unit area) of a population can fluctuate in response to a variety of biotic and abiotic factors. As you observed in Exercise 14, the size of a population limits genetic </w:t>
      </w:r>
      <w:proofErr w:type="gramStart"/>
      <w:r w:rsidRPr="00887C18">
        <w:rPr>
          <w:rFonts w:eastAsia="Times New Roman" w:cs="Calibri"/>
          <w:color w:val="202122"/>
          <w:kern w:val="0"/>
          <w:sz w:val="24"/>
          <w:szCs w:val="24"/>
          <w14:ligatures w14:val="none"/>
        </w:rPr>
        <w:t>variation</w:t>
      </w:r>
      <w:proofErr w:type="gramEnd"/>
      <w:r w:rsidRPr="00887C18">
        <w:rPr>
          <w:rFonts w:eastAsia="Times New Roman" w:cs="Calibri"/>
          <w:color w:val="202122"/>
          <w:kern w:val="0"/>
          <w:sz w:val="24"/>
          <w:szCs w:val="24"/>
          <w14:ligatures w14:val="none"/>
        </w:rPr>
        <w:t xml:space="preserve"> and the likelihood alleles will be passed on to future offspring. In terms of density, the more packed together individuals are in an area, there will be competition for access to resources.  </w:t>
      </w:r>
    </w:p>
    <w:p w14:paraId="75B67417" w14:textId="2D8DC5E7" w:rsidR="00887C18" w:rsidRPr="00887C18" w:rsidRDefault="00887C18" w:rsidP="00A94BDD">
      <w:pPr>
        <w:spacing w:before="100" w:beforeAutospacing="1" w:after="100" w:afterAutospacing="1" w:line="240" w:lineRule="auto"/>
        <w:jc w:val="both"/>
        <w:rPr>
          <w:rFonts w:eastAsia="Times New Roman" w:cs="Calibri"/>
          <w:color w:val="202122"/>
          <w:kern w:val="0"/>
          <w:sz w:val="24"/>
          <w:szCs w:val="24"/>
          <w14:ligatures w14:val="none"/>
        </w:rPr>
      </w:pPr>
      <w:r w:rsidRPr="00887C18">
        <w:rPr>
          <w:rFonts w:eastAsia="Times New Roman" w:cs="Calibri"/>
          <w:color w:val="202122"/>
          <w:kern w:val="0"/>
          <w:sz w:val="24"/>
          <w:szCs w:val="24"/>
          <w14:ligatures w14:val="none"/>
        </w:rPr>
        <w:t xml:space="preserve">When population ecologists want to describe the size of a population changing over time, they can use two models: </w:t>
      </w:r>
      <w:r w:rsidRPr="00887C18">
        <w:rPr>
          <w:rFonts w:eastAsia="Times New Roman" w:cs="Calibri"/>
          <w:b/>
          <w:bCs/>
          <w:color w:val="202122"/>
          <w:kern w:val="0"/>
          <w:sz w:val="24"/>
          <w:szCs w:val="24"/>
          <w14:ligatures w14:val="none"/>
        </w:rPr>
        <w:t>exponential</w:t>
      </w:r>
      <w:r w:rsidRPr="00887C18">
        <w:rPr>
          <w:rFonts w:eastAsia="Times New Roman" w:cs="Calibri"/>
          <w:color w:val="202122"/>
          <w:kern w:val="0"/>
          <w:sz w:val="24"/>
          <w:szCs w:val="24"/>
          <w14:ligatures w14:val="none"/>
        </w:rPr>
        <w:t xml:space="preserve"> and </w:t>
      </w:r>
      <w:r w:rsidRPr="00887C18">
        <w:rPr>
          <w:rFonts w:eastAsia="Times New Roman" w:cs="Calibri"/>
          <w:b/>
          <w:bCs/>
          <w:color w:val="202122"/>
          <w:kern w:val="0"/>
          <w:sz w:val="24"/>
          <w:szCs w:val="24"/>
          <w14:ligatures w14:val="none"/>
        </w:rPr>
        <w:t>logistic growth</w:t>
      </w:r>
      <w:r w:rsidRPr="00887C18">
        <w:rPr>
          <w:rFonts w:eastAsia="Times New Roman" w:cs="Calibri"/>
          <w:color w:val="202122"/>
          <w:kern w:val="0"/>
          <w:sz w:val="24"/>
          <w:szCs w:val="24"/>
          <w14:ligatures w14:val="none"/>
        </w:rPr>
        <w:t xml:space="preserve">. Exponential growth patterns occur when the size of a population rapidly increases </w:t>
      </w:r>
      <w:proofErr w:type="gramStart"/>
      <w:r w:rsidRPr="00887C18">
        <w:rPr>
          <w:rFonts w:eastAsia="Times New Roman" w:cs="Calibri"/>
          <w:color w:val="202122"/>
          <w:kern w:val="0"/>
          <w:sz w:val="24"/>
          <w:szCs w:val="24"/>
          <w14:ligatures w14:val="none"/>
        </w:rPr>
        <w:t>as a result of</w:t>
      </w:r>
      <w:proofErr w:type="gramEnd"/>
      <w:r w:rsidRPr="00887C18">
        <w:rPr>
          <w:rFonts w:eastAsia="Times New Roman" w:cs="Calibri"/>
          <w:color w:val="202122"/>
          <w:kern w:val="0"/>
          <w:sz w:val="24"/>
          <w:szCs w:val="24"/>
          <w14:ligatures w14:val="none"/>
        </w:rPr>
        <w:t xml:space="preserve"> unlimited resources in an ecosystem. However, this type of pattern is unrealistic in the real world as ecosystems have limited resources to provide to their occupants. When there is a smaller number of individuals in an ecosystem, resources are plentiful so you will initially see exponential growth. But, as the population size continues to increase, resources will soon be depleted, eventually leading to a </w:t>
      </w:r>
      <w:r w:rsidR="007E474E" w:rsidRPr="00887C18">
        <w:rPr>
          <w:rFonts w:eastAsia="Times New Roman" w:cs="Calibri"/>
          <w:color w:val="202122"/>
          <w:kern w:val="0"/>
          <w:sz w:val="24"/>
          <w:szCs w:val="24"/>
          <w14:ligatures w14:val="none"/>
        </w:rPr>
        <w:t>slowdown</w:t>
      </w:r>
      <w:r w:rsidRPr="00887C18">
        <w:rPr>
          <w:rFonts w:eastAsia="Times New Roman" w:cs="Calibri"/>
          <w:color w:val="202122"/>
          <w:kern w:val="0"/>
          <w:sz w:val="24"/>
          <w:szCs w:val="24"/>
          <w14:ligatures w14:val="none"/>
        </w:rPr>
        <w:t xml:space="preserve"> and </w:t>
      </w:r>
      <w:r w:rsidRPr="00887C18">
        <w:rPr>
          <w:rFonts w:eastAsia="Times New Roman" w:cs="Calibri"/>
          <w:color w:val="202122"/>
          <w:kern w:val="0"/>
          <w:sz w:val="24"/>
          <w:szCs w:val="24"/>
          <w14:ligatures w14:val="none"/>
        </w:rPr>
        <w:lastRenderedPageBreak/>
        <w:t>plateauing in the growth rate. The population at this point is reaching the carrying capacity, which is defined as the maximum population size that an ecosystem can sustain based on the resources available. This more realistic patten of growth seen in populations is referred to as logistic growth.</w:t>
      </w:r>
    </w:p>
    <w:p w14:paraId="73908B9E" w14:textId="77777777" w:rsidR="00887C18" w:rsidRPr="00887C18" w:rsidRDefault="00887C18" w:rsidP="00887C18">
      <w:pPr>
        <w:spacing w:before="100" w:beforeAutospacing="1" w:after="100" w:afterAutospacing="1" w:line="240" w:lineRule="auto"/>
        <w:jc w:val="center"/>
        <w:rPr>
          <w:rFonts w:ascii="Times New Roman" w:eastAsia="Times New Roman" w:hAnsi="Times New Roman" w:cs="Times New Roman"/>
          <w:color w:val="202122"/>
          <w:kern w:val="0"/>
          <w:sz w:val="27"/>
          <w:szCs w:val="27"/>
          <w14:ligatures w14:val="none"/>
        </w:rPr>
      </w:pPr>
      <w:r w:rsidRPr="00887C18">
        <w:rPr>
          <w:rFonts w:eastAsia="Times New Roman" w:cs="Calibri"/>
          <w:noProof/>
          <w:color w:val="202122"/>
          <w:kern w:val="0"/>
          <w:sz w:val="24"/>
          <w:szCs w:val="24"/>
          <w14:ligatures w14:val="none"/>
        </w:rPr>
        <w:drawing>
          <wp:inline distT="0" distB="0" distL="0" distR="0" wp14:anchorId="59D4ED9A" wp14:editId="58AC24E8">
            <wp:extent cx="5939334" cy="2652395"/>
            <wp:effectExtent l="0" t="0" r="4445" b="1905"/>
            <wp:docPr id="1242482618" name="Picture 1" descr="A diagram showing two graphs both having the x-axis labeled as “Time” and the y-axis labeled as “Population size (N).” The left graph shows a J-curve representing exponential population growth. The right graph has a S-curve with the top of curve that plateaus being labeled as the “carrying capacity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482618" name="Picture 1" descr="A diagram showing two graphs both having the x-axis labeled as “Time” and the y-axis labeled as “Population size (N).” The left graph shows a J-curve representing exponential population growth. The right graph has a S-curve with the top of curve that plateaus being labeled as the “carrying capacity (K).”"/>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5939334" cy="2652395"/>
                    </a:xfrm>
                    <a:prstGeom prst="rect">
                      <a:avLst/>
                    </a:prstGeom>
                    <a:noFill/>
                    <a:ln>
                      <a:noFill/>
                    </a:ln>
                  </pic:spPr>
                </pic:pic>
              </a:graphicData>
            </a:graphic>
          </wp:inline>
        </w:drawing>
      </w:r>
    </w:p>
    <w:p w14:paraId="0B491095" w14:textId="77777777" w:rsidR="00887C18" w:rsidRPr="00887C18" w:rsidRDefault="00887C18" w:rsidP="00887C18">
      <w:pPr>
        <w:spacing w:after="90" w:line="240" w:lineRule="auto"/>
        <w:jc w:val="center"/>
        <w:rPr>
          <w:rFonts w:ascii="Myriad Pro" w:eastAsia="Times New Roman" w:hAnsi="Myriad Pro" w:cs="Myriad Pro"/>
          <w:b/>
          <w:bCs/>
          <w:kern w:val="0"/>
          <w:szCs w:val="20"/>
          <w14:ligatures w14:val="none"/>
        </w:rPr>
      </w:pPr>
      <w:r w:rsidRPr="00887C18">
        <w:rPr>
          <w:rFonts w:ascii="Myriad Pro" w:eastAsia="Times New Roman" w:hAnsi="Myriad Pro" w:cs="Myriad Pro"/>
          <w:b/>
          <w:bCs/>
          <w:kern w:val="0"/>
          <w:szCs w:val="20"/>
          <w14:ligatures w14:val="none"/>
        </w:rPr>
        <w:t>Figure 22-1.</w:t>
      </w:r>
      <w:r w:rsidRPr="00887C18">
        <w:rPr>
          <w:rFonts w:ascii="Myriad Pro" w:eastAsia="Times New Roman" w:hAnsi="Myriad Pro" w:cs="Myriad Pro"/>
          <w:kern w:val="0"/>
          <w:szCs w:val="20"/>
          <w14:ligatures w14:val="none"/>
        </w:rPr>
        <w:t xml:space="preserve"> Exponential growth (left) and logistic growth (right).</w:t>
      </w:r>
      <w:r w:rsidRPr="00887C18">
        <w:rPr>
          <w:rFonts w:ascii="Myriad Pro" w:eastAsia="Times New Roman" w:hAnsi="Myriad Pro" w:cs="Myriad Pro"/>
          <w:b/>
          <w:bCs/>
          <w:kern w:val="0"/>
          <w:szCs w:val="20"/>
          <w14:ligatures w14:val="none"/>
        </w:rPr>
        <w:t xml:space="preserve"> </w:t>
      </w:r>
    </w:p>
    <w:p w14:paraId="0D0DD210" w14:textId="77777777" w:rsidR="00887C18" w:rsidRPr="00887C18" w:rsidRDefault="00887C18" w:rsidP="00887C18">
      <w:pPr>
        <w:rPr>
          <w:sz w:val="24"/>
        </w:rPr>
      </w:pPr>
    </w:p>
    <w:p w14:paraId="6640708C" w14:textId="77777777" w:rsidR="00887C18" w:rsidRPr="00887C18" w:rsidRDefault="00887C18" w:rsidP="00887C18">
      <w:pPr>
        <w:spacing w:before="100" w:beforeAutospacing="1" w:after="100" w:afterAutospacing="1" w:line="240" w:lineRule="auto"/>
        <w:rPr>
          <w:rFonts w:eastAsia="Times New Roman" w:cs="Calibri"/>
          <w:i/>
          <w:iCs/>
          <w:color w:val="027A21"/>
          <w:kern w:val="0"/>
          <w:sz w:val="26"/>
          <w:szCs w:val="26"/>
          <w14:ligatures w14:val="none"/>
        </w:rPr>
      </w:pPr>
      <w:r w:rsidRPr="00887C18">
        <w:rPr>
          <w:rFonts w:ascii="Times New Roman" w:eastAsia="Times New Roman" w:hAnsi="Times New Roman" w:cs="Times New Roman"/>
          <w:noProof/>
          <w:kern w:val="0"/>
          <w:sz w:val="24"/>
          <w:szCs w:val="24"/>
          <w14:ligatures w14:val="none"/>
        </w:rPr>
        <w:drawing>
          <wp:anchor distT="0" distB="0" distL="114300" distR="114300" simplePos="0" relativeHeight="251659264" behindDoc="0" locked="0" layoutInCell="1" allowOverlap="1" wp14:anchorId="5F10AAB3" wp14:editId="1D718DBD">
            <wp:simplePos x="0" y="0"/>
            <wp:positionH relativeFrom="column">
              <wp:posOffset>0</wp:posOffset>
            </wp:positionH>
            <wp:positionV relativeFrom="paragraph">
              <wp:posOffset>101600</wp:posOffset>
            </wp:positionV>
            <wp:extent cx="630936" cy="630936"/>
            <wp:effectExtent l="0" t="0" r="0" b="0"/>
            <wp:wrapSquare wrapText="bothSides"/>
            <wp:docPr id="1044203425"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203425"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887C18">
        <w:rPr>
          <w:rFonts w:eastAsiaTheme="majorEastAsia" w:cs="Calibri"/>
          <w:b/>
          <w:bCs/>
          <w:i/>
          <w:iCs/>
          <w:color w:val="027A21"/>
          <w:kern w:val="0"/>
          <w:sz w:val="26"/>
          <w:szCs w:val="26"/>
          <w14:ligatures w14:val="none"/>
        </w:rPr>
        <w:t>EXPERIMENT NOTE </w:t>
      </w:r>
    </w:p>
    <w:p w14:paraId="512AA8AA" w14:textId="77777777" w:rsidR="00887C18" w:rsidRPr="00887C18" w:rsidRDefault="00887C18" w:rsidP="00887C18">
      <w:pPr>
        <w:spacing w:before="100" w:beforeAutospacing="1" w:after="100" w:afterAutospacing="1" w:line="240" w:lineRule="auto"/>
        <w:rPr>
          <w:rFonts w:eastAsia="Times New Roman" w:cs="Calibri"/>
          <w:i/>
          <w:iCs/>
          <w:color w:val="027A21"/>
          <w:kern w:val="0"/>
          <w:sz w:val="24"/>
          <w:szCs w:val="24"/>
          <w14:ligatures w14:val="none"/>
        </w:rPr>
      </w:pPr>
      <w:r w:rsidRPr="00887C18">
        <w:rPr>
          <w:rFonts w:eastAsia="Times New Roman" w:cs="Calibri"/>
          <w:i/>
          <w:iCs/>
          <w:color w:val="027A21"/>
          <w:kern w:val="0"/>
          <w:sz w:val="24"/>
          <w:szCs w:val="24"/>
          <w14:ligatures w14:val="none"/>
        </w:rPr>
        <w:t xml:space="preserve">You will use a simulation to observe how the size of population changes under different conditions and determine </w:t>
      </w:r>
      <w:proofErr w:type="gramStart"/>
      <w:r w:rsidRPr="00887C18">
        <w:rPr>
          <w:rFonts w:eastAsia="Times New Roman" w:cs="Calibri"/>
          <w:i/>
          <w:iCs/>
          <w:color w:val="027A21"/>
          <w:kern w:val="0"/>
          <w:sz w:val="24"/>
          <w:szCs w:val="24"/>
          <w14:ligatures w14:val="none"/>
        </w:rPr>
        <w:t>its</w:t>
      </w:r>
      <w:proofErr w:type="gramEnd"/>
      <w:r w:rsidRPr="00887C18">
        <w:rPr>
          <w:rFonts w:eastAsia="Times New Roman" w:cs="Calibri"/>
          <w:i/>
          <w:iCs/>
          <w:color w:val="027A21"/>
          <w:kern w:val="0"/>
          <w:sz w:val="24"/>
          <w:szCs w:val="24"/>
          <w14:ligatures w14:val="none"/>
        </w:rPr>
        <w:t xml:space="preserve"> carrying capacity.   </w:t>
      </w:r>
    </w:p>
    <w:p w14:paraId="6C955A9F" w14:textId="77777777" w:rsidR="00887C18" w:rsidRPr="00887C18" w:rsidRDefault="00887C18" w:rsidP="00887C18">
      <w:pPr>
        <w:rPr>
          <w:sz w:val="24"/>
        </w:rPr>
      </w:pPr>
    </w:p>
    <w:p w14:paraId="38C26FF0" w14:textId="77777777" w:rsidR="00887C18" w:rsidRPr="00887C18" w:rsidRDefault="00887C18" w:rsidP="00887C18">
      <w:pPr>
        <w:spacing w:before="100" w:beforeAutospacing="1" w:after="100" w:afterAutospacing="1" w:line="240" w:lineRule="auto"/>
        <w:rPr>
          <w:rFonts w:eastAsia="Times New Roman" w:cs="Calibri"/>
          <w:color w:val="202122"/>
          <w:kern w:val="0"/>
          <w:sz w:val="28"/>
          <w:szCs w:val="28"/>
          <w14:ligatures w14:val="none"/>
        </w:rPr>
      </w:pPr>
      <w:r w:rsidRPr="00887C18">
        <w:rPr>
          <w:rFonts w:eastAsiaTheme="majorEastAsia" w:cs="Calibri"/>
          <w:b/>
          <w:bCs/>
          <w:color w:val="202122"/>
          <w:kern w:val="0"/>
          <w:sz w:val="28"/>
          <w:szCs w:val="28"/>
          <w14:ligatures w14:val="none"/>
        </w:rPr>
        <w:t>POPULATION REGULATION</w:t>
      </w:r>
    </w:p>
    <w:p w14:paraId="164D0C80" w14:textId="77777777" w:rsidR="00887C18" w:rsidRPr="00887C18" w:rsidRDefault="00887C18" w:rsidP="00887C18">
      <w:pPr>
        <w:spacing w:before="100" w:beforeAutospacing="1" w:after="100" w:afterAutospacing="1" w:line="240" w:lineRule="auto"/>
        <w:jc w:val="both"/>
        <w:rPr>
          <w:rFonts w:eastAsia="Times New Roman" w:cs="Calibri"/>
          <w:color w:val="202122"/>
          <w:kern w:val="0"/>
          <w:sz w:val="24"/>
          <w:szCs w:val="24"/>
          <w14:ligatures w14:val="none"/>
        </w:rPr>
      </w:pPr>
      <w:r w:rsidRPr="00887C18">
        <w:rPr>
          <w:rFonts w:eastAsia="Times New Roman" w:cs="Calibri"/>
          <w:color w:val="202122"/>
          <w:kern w:val="0"/>
          <w:sz w:val="24"/>
          <w:szCs w:val="24"/>
          <w14:ligatures w14:val="none"/>
        </w:rPr>
        <w:t xml:space="preserve">The growth of a population can be regulated by two factors: </w:t>
      </w:r>
      <w:r w:rsidRPr="00887C18">
        <w:rPr>
          <w:rFonts w:eastAsia="Times New Roman" w:cs="Calibri"/>
          <w:b/>
          <w:bCs/>
          <w:color w:val="202122"/>
          <w:kern w:val="0"/>
          <w:sz w:val="24"/>
          <w:szCs w:val="24"/>
          <w14:ligatures w14:val="none"/>
        </w:rPr>
        <w:t>density-dependent</w:t>
      </w:r>
      <w:r w:rsidRPr="00887C18">
        <w:rPr>
          <w:rFonts w:eastAsia="Times New Roman" w:cs="Calibri"/>
          <w:color w:val="202122"/>
          <w:kern w:val="0"/>
          <w:sz w:val="24"/>
          <w:szCs w:val="24"/>
          <w14:ligatures w14:val="none"/>
        </w:rPr>
        <w:t xml:space="preserve"> and </w:t>
      </w:r>
      <w:r w:rsidRPr="00887C18">
        <w:rPr>
          <w:rFonts w:eastAsia="Times New Roman" w:cs="Calibri"/>
          <w:b/>
          <w:bCs/>
          <w:color w:val="202122"/>
          <w:kern w:val="0"/>
          <w:sz w:val="24"/>
          <w:szCs w:val="24"/>
          <w14:ligatures w14:val="none"/>
        </w:rPr>
        <w:t>density-independent</w:t>
      </w:r>
      <w:r w:rsidRPr="00887C18">
        <w:rPr>
          <w:rFonts w:eastAsia="Times New Roman" w:cs="Calibri"/>
          <w:color w:val="202122"/>
          <w:kern w:val="0"/>
          <w:sz w:val="24"/>
          <w:szCs w:val="24"/>
          <w14:ligatures w14:val="none"/>
        </w:rPr>
        <w:t>. Density-dependent factors see population density and size impacting the growth and mortality rate of a population. These factors are mostly biotic and include intra- and interspecific competition for space and food, predation, disease, and waste accumulation.</w:t>
      </w:r>
    </w:p>
    <w:p w14:paraId="0DDA1FB5" w14:textId="7D4AE4F9" w:rsidR="00887C18" w:rsidRPr="00887C18" w:rsidRDefault="00887C18" w:rsidP="0020719A">
      <w:pPr>
        <w:spacing w:before="100" w:beforeAutospacing="1" w:after="100" w:afterAutospacing="1" w:line="240" w:lineRule="auto"/>
        <w:jc w:val="both"/>
        <w:rPr>
          <w:rFonts w:eastAsia="Times New Roman" w:cs="Calibri"/>
          <w:color w:val="202122"/>
          <w:kern w:val="0"/>
          <w:sz w:val="24"/>
          <w:szCs w:val="24"/>
          <w14:ligatures w14:val="none"/>
        </w:rPr>
      </w:pPr>
      <w:r w:rsidRPr="00887C18">
        <w:rPr>
          <w:rFonts w:eastAsia="Times New Roman" w:cs="Calibri"/>
          <w:color w:val="202122"/>
          <w:kern w:val="0"/>
          <w:sz w:val="24"/>
          <w:szCs w:val="24"/>
          <w14:ligatures w14:val="none"/>
        </w:rPr>
        <w:t xml:space="preserve">For example, if there is a large population of predators but a smaller population of prey, you would expect a high mortality rate and thus a decrease in population size due to a lack of food. Density-independent factors, in contrast, impact the growth and mortality rate of a population regardless of its density and size. These factors are mainly abiotic and include weather, limitation of nutrients, pollutants, and natural disasters such as fires and hurricanes. </w:t>
      </w:r>
      <w:r w:rsidRPr="00887C18">
        <w:rPr>
          <w:rFonts w:eastAsia="Times New Roman" w:cs="Calibri"/>
          <w:color w:val="202122"/>
          <w:kern w:val="0"/>
          <w:sz w:val="24"/>
          <w:szCs w:val="24"/>
          <w14:ligatures w14:val="none"/>
        </w:rPr>
        <w:lastRenderedPageBreak/>
        <w:t>For example, an individual in a population can be killed as result of a natural disaster regardless of the overall density of the population. </w:t>
      </w:r>
    </w:p>
    <w:p w14:paraId="03FF0812" w14:textId="77777777" w:rsidR="00887C18" w:rsidRPr="00887C18" w:rsidRDefault="00887C18" w:rsidP="00887C18">
      <w:pPr>
        <w:spacing w:before="100" w:beforeAutospacing="1" w:after="100" w:afterAutospacing="1" w:line="240" w:lineRule="auto"/>
        <w:rPr>
          <w:rFonts w:eastAsia="Times New Roman" w:cs="Calibri"/>
          <w:i/>
          <w:iCs/>
          <w:color w:val="027A21"/>
          <w:kern w:val="0"/>
          <w:sz w:val="26"/>
          <w:szCs w:val="26"/>
          <w14:ligatures w14:val="none"/>
        </w:rPr>
      </w:pPr>
      <w:r w:rsidRPr="00887C18">
        <w:rPr>
          <w:rFonts w:ascii="Times New Roman" w:eastAsia="Times New Roman" w:hAnsi="Times New Roman" w:cs="Times New Roman"/>
          <w:noProof/>
          <w:kern w:val="0"/>
          <w:sz w:val="24"/>
          <w:szCs w:val="24"/>
          <w14:ligatures w14:val="none"/>
        </w:rPr>
        <w:drawing>
          <wp:anchor distT="0" distB="0" distL="114300" distR="114300" simplePos="0" relativeHeight="251660288" behindDoc="0" locked="0" layoutInCell="1" allowOverlap="1" wp14:anchorId="2857570A" wp14:editId="39B2EA22">
            <wp:simplePos x="0" y="0"/>
            <wp:positionH relativeFrom="column">
              <wp:posOffset>-29845</wp:posOffset>
            </wp:positionH>
            <wp:positionV relativeFrom="paragraph">
              <wp:posOffset>152400</wp:posOffset>
            </wp:positionV>
            <wp:extent cx="630936" cy="630936"/>
            <wp:effectExtent l="0" t="0" r="0" b="0"/>
            <wp:wrapSquare wrapText="bothSides"/>
            <wp:docPr id="2128274018"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274018"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887C18">
        <w:rPr>
          <w:rFonts w:eastAsiaTheme="majorEastAsia" w:cs="Calibri"/>
          <w:b/>
          <w:bCs/>
          <w:i/>
          <w:iCs/>
          <w:color w:val="027A21"/>
          <w:kern w:val="0"/>
          <w:sz w:val="26"/>
          <w:szCs w:val="26"/>
          <w14:ligatures w14:val="none"/>
        </w:rPr>
        <w:t>EXPERIMENT NOTE </w:t>
      </w:r>
    </w:p>
    <w:p w14:paraId="1F8F62DD" w14:textId="3D3F0EC8" w:rsidR="00887C18" w:rsidRPr="00887C18" w:rsidRDefault="00887C18" w:rsidP="0020719A">
      <w:pPr>
        <w:spacing w:before="100" w:beforeAutospacing="1" w:after="100" w:afterAutospacing="1" w:line="240" w:lineRule="auto"/>
        <w:rPr>
          <w:rFonts w:eastAsia="Times New Roman" w:cs="Calibri"/>
          <w:i/>
          <w:iCs/>
          <w:color w:val="027A21"/>
          <w:kern w:val="0"/>
          <w:sz w:val="24"/>
          <w:szCs w:val="24"/>
          <w14:ligatures w14:val="none"/>
        </w:rPr>
      </w:pPr>
      <w:r w:rsidRPr="00887C18">
        <w:rPr>
          <w:rFonts w:eastAsia="Times New Roman" w:cs="Calibri"/>
          <w:i/>
          <w:iCs/>
          <w:color w:val="027A21"/>
          <w:kern w:val="0"/>
          <w:sz w:val="24"/>
          <w:szCs w:val="24"/>
          <w14:ligatures w14:val="none"/>
        </w:rPr>
        <w:t>You will use a simulation to identify the possible density-dependent or density-independent factors that are affecting different populations in an ecosystem. </w:t>
      </w:r>
    </w:p>
    <w:p w14:paraId="5AD08C6E" w14:textId="77777777" w:rsidR="00887C18" w:rsidRPr="00887C18" w:rsidRDefault="00887C18" w:rsidP="00887C18">
      <w:pPr>
        <w:rPr>
          <w:sz w:val="24"/>
        </w:rPr>
      </w:pPr>
      <w:r w:rsidRPr="00887C18">
        <w:rPr>
          <w:rFonts w:eastAsia="Times New Roman" w:cs="Adobe Garamond Pro"/>
          <w:noProof/>
          <w:kern w:val="0"/>
          <w:sz w:val="24"/>
          <w:szCs w:val="20"/>
          <w14:ligatures w14:val="none"/>
        </w:rPr>
        <mc:AlternateContent>
          <mc:Choice Requires="wps">
            <w:drawing>
              <wp:anchor distT="0" distB="0" distL="114300" distR="114300" simplePos="0" relativeHeight="251661312" behindDoc="0" locked="0" layoutInCell="1" allowOverlap="1" wp14:anchorId="1FCCE97A" wp14:editId="1325BFF8">
                <wp:simplePos x="0" y="0"/>
                <wp:positionH relativeFrom="column">
                  <wp:posOffset>0</wp:posOffset>
                </wp:positionH>
                <wp:positionV relativeFrom="paragraph">
                  <wp:posOffset>79375</wp:posOffset>
                </wp:positionV>
                <wp:extent cx="5880100" cy="13716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880100" cy="1371600"/>
                        </a:xfrm>
                        <a:prstGeom prst="rect">
                          <a:avLst/>
                        </a:prstGeom>
                        <a:solidFill>
                          <a:sysClr val="window" lastClr="FFFFFF"/>
                        </a:solidFill>
                        <a:ln w="38100" cap="flat" cmpd="sng" algn="ctr">
                          <a:solidFill>
                            <a:srgbClr val="002060"/>
                          </a:solidFill>
                          <a:prstDash val="solid"/>
                          <a:miter lim="800000"/>
                        </a:ln>
                        <a:effectLst/>
                      </wps:spPr>
                      <wps:txbx>
                        <w:txbxContent>
                          <w:p w14:paraId="11EE5BD9" w14:textId="77777777" w:rsidR="00887C18" w:rsidRPr="0020719A" w:rsidRDefault="00887C18" w:rsidP="00887C18">
                            <w:pPr>
                              <w:pStyle w:val="Headers-Header1"/>
                              <w:rPr>
                                <w:rFonts w:ascii="Calibri" w:hAnsi="Calibri" w:cs="Calibri"/>
                              </w:rPr>
                            </w:pPr>
                            <w:r w:rsidRPr="0020719A">
                              <w:rPr>
                                <w:rFonts w:ascii="Calibri" w:hAnsi="Calibri" w:cs="Calibri"/>
                              </w:rPr>
                              <w:t>WORKSHEET</w:t>
                            </w:r>
                          </w:p>
                          <w:p w14:paraId="00465972" w14:textId="77777777" w:rsidR="00887C18" w:rsidRPr="0020719A" w:rsidRDefault="00887C18" w:rsidP="00887C18">
                            <w:pPr>
                              <w:rPr>
                                <w:rFonts w:cs="Calibri"/>
                                <w:sz w:val="24"/>
                                <w:szCs w:val="24"/>
                              </w:rPr>
                            </w:pPr>
                            <w:r w:rsidRPr="0020719A">
                              <w:rPr>
                                <w:rFonts w:cs="Calibri"/>
                                <w:sz w:val="24"/>
                              </w:rPr>
                              <w:t>Your instructor will tell you how to </w:t>
                            </w:r>
                            <w:r w:rsidRPr="0020719A">
                              <w:rPr>
                                <w:rFonts w:cs="Calibri"/>
                                <w:b/>
                                <w:bCs/>
                                <w:sz w:val="24"/>
                              </w:rPr>
                              <w:t>submit your completed worksheet</w:t>
                            </w:r>
                            <w:r w:rsidRPr="0020719A">
                              <w:rPr>
                                <w:rFonts w:cs="Calibri"/>
                                <w:sz w:val="24"/>
                              </w:rPr>
                              <w:t> and what grade it will contribute to. It is important to study your results for quizzes and exams.</w:t>
                            </w:r>
                          </w:p>
                          <w:p w14:paraId="25E21413" w14:textId="77777777" w:rsidR="00887C18" w:rsidRPr="002C3F63" w:rsidRDefault="00887C18" w:rsidP="00887C18">
                            <w:pPr>
                              <w:rPr>
                                <w:rFonts w:cstheme="minorHAnsi"/>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CCE97A" id="_x0000_t202" coordsize="21600,21600" o:spt="202" path="m,l,21600r21600,l21600,xe">
                <v:stroke joinstyle="miter"/>
                <v:path gradientshapeok="t" o:connecttype="rect"/>
              </v:shapetype>
              <v:shape id="Text Box 1" o:spid="_x0000_s1026" type="#_x0000_t202" style="position:absolute;margin-left:0;margin-top:6.25pt;width:463pt;height:1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" fillcolor="window" strokecolor="#002060" strokeweight="3pt">
                <v:textbox>
                  <w:txbxContent>
                    <w:p w14:paraId="11EE5BD9" w14:textId="77777777" w:rsidR="00887C18" w:rsidRPr="0020719A" w:rsidRDefault="00887C18" w:rsidP="00887C18">
                      <w:pPr>
                        <w:pStyle w:val="Headers-Header1"/>
                        <w:rPr>
                          <w:rFonts w:ascii="Calibri" w:hAnsi="Calibri" w:cs="Calibri"/>
                        </w:rPr>
                      </w:pPr>
                      <w:r w:rsidRPr="0020719A">
                        <w:rPr>
                          <w:rFonts w:ascii="Calibri" w:hAnsi="Calibri" w:cs="Calibri"/>
                        </w:rPr>
                        <w:t>WORKSHEET</w:t>
                      </w:r>
                    </w:p>
                    <w:p w14:paraId="00465972" w14:textId="77777777" w:rsidR="00887C18" w:rsidRPr="0020719A" w:rsidRDefault="00887C18" w:rsidP="00887C18">
                      <w:pPr>
                        <w:rPr>
                          <w:rFonts w:cs="Calibri"/>
                          <w:sz w:val="24"/>
                          <w:szCs w:val="24"/>
                        </w:rPr>
                      </w:pPr>
                      <w:r w:rsidRPr="0020719A">
                        <w:rPr>
                          <w:rFonts w:cs="Calibri"/>
                          <w:sz w:val="24"/>
                        </w:rPr>
                        <w:t>Your instructor will tell you how to </w:t>
                      </w:r>
                      <w:r w:rsidRPr="0020719A">
                        <w:rPr>
                          <w:rFonts w:cs="Calibri"/>
                          <w:b/>
                          <w:bCs/>
                          <w:sz w:val="24"/>
                        </w:rPr>
                        <w:t>submit your completed worksheet</w:t>
                      </w:r>
                      <w:r w:rsidRPr="0020719A">
                        <w:rPr>
                          <w:rFonts w:cs="Calibri"/>
                          <w:sz w:val="24"/>
                        </w:rPr>
                        <w:t> and what grade it will contribute to. It is important to study your results for quizzes and exams.</w:t>
                      </w:r>
                    </w:p>
                    <w:p w14:paraId="25E21413" w14:textId="77777777" w:rsidR="00887C18" w:rsidRPr="002C3F63" w:rsidRDefault="00887C18" w:rsidP="00887C18">
                      <w:pPr>
                        <w:rPr>
                          <w:rFonts w:cstheme="minorHAnsi"/>
                          <w:szCs w:val="21"/>
                        </w:rPr>
                      </w:pPr>
                    </w:p>
                  </w:txbxContent>
                </v:textbox>
              </v:shape>
            </w:pict>
          </mc:Fallback>
        </mc:AlternateContent>
      </w:r>
    </w:p>
    <w:p w14:paraId="0DA83121" w14:textId="77777777" w:rsidR="00887C18" w:rsidRPr="00887C18" w:rsidRDefault="00887C18" w:rsidP="00887C18">
      <w:pPr>
        <w:rPr>
          <w:sz w:val="24"/>
        </w:rPr>
      </w:pPr>
    </w:p>
    <w:p w14:paraId="08717850" w14:textId="77777777" w:rsidR="00887C18" w:rsidRPr="00887C18" w:rsidRDefault="00887C18" w:rsidP="00887C18">
      <w:pPr>
        <w:rPr>
          <w:sz w:val="24"/>
        </w:rPr>
      </w:pPr>
    </w:p>
    <w:p w14:paraId="042146D2" w14:textId="77777777" w:rsidR="00887C18" w:rsidRPr="00887C18" w:rsidRDefault="00887C18" w:rsidP="00887C18">
      <w:pPr>
        <w:rPr>
          <w:sz w:val="24"/>
        </w:rPr>
      </w:pPr>
    </w:p>
    <w:p w14:paraId="0BA68AC8" w14:textId="77777777" w:rsidR="00887C18" w:rsidRPr="00887C18" w:rsidRDefault="00887C18" w:rsidP="00887C18">
      <w:pPr>
        <w:rPr>
          <w:sz w:val="24"/>
        </w:rPr>
      </w:pPr>
    </w:p>
    <w:p w14:paraId="0F26DFBE" w14:textId="77777777" w:rsidR="00887C18" w:rsidRPr="00887C18" w:rsidRDefault="00887C18" w:rsidP="00887C18">
      <w:pPr>
        <w:tabs>
          <w:tab w:val="left" w:pos="360"/>
          <w:tab w:val="left" w:pos="720"/>
          <w:tab w:val="left" w:pos="1080"/>
          <w:tab w:val="left" w:pos="1440"/>
          <w:tab w:val="left" w:pos="1800"/>
        </w:tabs>
        <w:spacing w:after="172" w:line="240" w:lineRule="auto"/>
        <w:jc w:val="right"/>
        <w:rPr>
          <w:rFonts w:asciiTheme="minorHAnsi" w:eastAsia="Times New Roman" w:hAnsiTheme="minorHAnsi" w:cs="Myriad Pro"/>
          <w:caps/>
          <w:kern w:val="0"/>
          <w:sz w:val="48"/>
          <w:szCs w:val="20"/>
          <w14:ligatures w14:val="none"/>
        </w:rPr>
      </w:pPr>
      <w:r w:rsidRPr="00887C18">
        <w:rPr>
          <w:rFonts w:asciiTheme="minorHAnsi" w:eastAsia="Times New Roman" w:hAnsiTheme="minorHAnsi" w:cs="Myriad Pro"/>
          <w:caps/>
          <w:noProof/>
          <w:kern w:val="0"/>
          <w:sz w:val="48"/>
          <w:szCs w:val="20"/>
        </w:rPr>
        <w:pict w14:anchorId="3F6E9F9F">
          <v:rect id="_x0000_i1026" alt="" style="width:468pt;height:.05pt;mso-width-percent:0;mso-height-percent:0;mso-width-percent:0;mso-height-percent:0" o:hralign="center" o:hrstd="t" o:hr="t" fillcolor="#a0a0a0" stroked="f"/>
        </w:pict>
      </w:r>
    </w:p>
    <w:p w14:paraId="616241A1" w14:textId="77777777" w:rsidR="00887C18" w:rsidRPr="00887C18" w:rsidRDefault="00887C18" w:rsidP="00887C18">
      <w:pPr>
        <w:tabs>
          <w:tab w:val="left" w:pos="360"/>
          <w:tab w:val="left" w:pos="720"/>
          <w:tab w:val="left" w:pos="1080"/>
          <w:tab w:val="left" w:pos="1440"/>
          <w:tab w:val="left" w:pos="1800"/>
        </w:tabs>
        <w:spacing w:after="172" w:line="240" w:lineRule="auto"/>
        <w:jc w:val="right"/>
        <w:rPr>
          <w:rFonts w:eastAsia="Times New Roman" w:cs="Calibri"/>
          <w:caps/>
          <w:kern w:val="0"/>
          <w:sz w:val="48"/>
          <w:szCs w:val="20"/>
          <w14:ligatures w14:val="none"/>
        </w:rPr>
      </w:pPr>
      <w:r w:rsidRPr="00887C18">
        <w:rPr>
          <w:rFonts w:eastAsia="Times New Roman" w:cs="Calibri"/>
          <w:caps/>
          <w:kern w:val="0"/>
          <w:sz w:val="48"/>
          <w:szCs w:val="20"/>
          <w14:ligatures w14:val="none"/>
        </w:rPr>
        <w:t>Let’s Review</w:t>
      </w:r>
    </w:p>
    <w:p w14:paraId="117CB3E1" w14:textId="77777777" w:rsidR="00887C18" w:rsidRPr="00887C18" w:rsidRDefault="00887C18" w:rsidP="00887C18">
      <w:pPr>
        <w:spacing w:after="90" w:line="240" w:lineRule="auto"/>
        <w:jc w:val="both"/>
        <w:rPr>
          <w:rFonts w:eastAsia="Times New Roman" w:cs="Calibri"/>
          <w:kern w:val="0"/>
          <w:sz w:val="24"/>
          <w:szCs w:val="20"/>
          <w14:ligatures w14:val="none"/>
        </w:rPr>
      </w:pPr>
      <w:r w:rsidRPr="00887C18">
        <w:rPr>
          <w:rFonts w:eastAsia="Times New Roman" w:cs="Calibri"/>
          <w:kern w:val="0"/>
          <w:sz w:val="24"/>
          <w:szCs w:val="20"/>
          <w14:ligatures w14:val="none"/>
        </w:rPr>
        <w:t>Before finishing this lab, take a moment to reflect and review. Answer these review questions to recap key points:</w:t>
      </w:r>
    </w:p>
    <w:p w14:paraId="780D71E9" w14:textId="77777777" w:rsidR="00887C18" w:rsidRPr="00887C18" w:rsidRDefault="00887C18" w:rsidP="00887C18">
      <w:pPr>
        <w:numPr>
          <w:ilvl w:val="0"/>
          <w:numId w:val="6"/>
        </w:numPr>
        <w:spacing w:before="240" w:after="90" w:line="240" w:lineRule="auto"/>
        <w:jc w:val="both"/>
        <w:rPr>
          <w:rFonts w:eastAsia="Times New Roman" w:cs="Calibri"/>
          <w:kern w:val="0"/>
          <w:sz w:val="24"/>
          <w:szCs w:val="20"/>
          <w14:ligatures w14:val="none"/>
        </w:rPr>
      </w:pPr>
      <w:r w:rsidRPr="00887C18">
        <w:rPr>
          <w:rFonts w:eastAsia="Times New Roman" w:cs="Calibri"/>
          <w:kern w:val="0"/>
          <w:sz w:val="24"/>
          <w:szCs w:val="20"/>
          <w14:ligatures w14:val="none"/>
        </w:rPr>
        <w:t>Describe the difference between logistic and exponential growth. How would these two growth patterns appear visually on a graph?</w:t>
      </w:r>
    </w:p>
    <w:p w14:paraId="36D7FA2C" w14:textId="77777777" w:rsidR="00887C18" w:rsidRPr="00887C18" w:rsidRDefault="00887C18" w:rsidP="00887C18">
      <w:pPr>
        <w:numPr>
          <w:ilvl w:val="0"/>
          <w:numId w:val="6"/>
        </w:numPr>
        <w:spacing w:before="240" w:after="90" w:line="240" w:lineRule="auto"/>
        <w:jc w:val="both"/>
        <w:rPr>
          <w:rFonts w:eastAsia="Times New Roman" w:cs="Calibri"/>
          <w:kern w:val="0"/>
          <w:sz w:val="24"/>
          <w:szCs w:val="20"/>
          <w14:ligatures w14:val="none"/>
        </w:rPr>
      </w:pPr>
      <w:r w:rsidRPr="00887C18">
        <w:rPr>
          <w:rFonts w:eastAsia="Times New Roman" w:cs="Calibri"/>
          <w:kern w:val="0"/>
          <w:sz w:val="24"/>
          <w:szCs w:val="20"/>
          <w14:ligatures w14:val="none"/>
        </w:rPr>
        <w:t>Define the carrying capacity of a population.</w:t>
      </w:r>
    </w:p>
    <w:p w14:paraId="16A52DA6" w14:textId="77777777" w:rsidR="00887C18" w:rsidRPr="00887C18" w:rsidRDefault="00887C18" w:rsidP="00887C18">
      <w:pPr>
        <w:numPr>
          <w:ilvl w:val="0"/>
          <w:numId w:val="6"/>
        </w:numPr>
        <w:spacing w:before="240"/>
        <w:contextualSpacing/>
        <w:rPr>
          <w:rFonts w:eastAsia="Times New Roman" w:cs="Calibri"/>
          <w:kern w:val="0"/>
          <w:sz w:val="24"/>
          <w:szCs w:val="20"/>
          <w14:ligatures w14:val="none"/>
        </w:rPr>
      </w:pPr>
      <w:r w:rsidRPr="00887C18">
        <w:rPr>
          <w:rFonts w:eastAsia="Times New Roman" w:cs="Calibri"/>
          <w:kern w:val="0"/>
          <w:sz w:val="24"/>
          <w:szCs w:val="20"/>
          <w14:ligatures w14:val="none"/>
        </w:rPr>
        <w:t xml:space="preserve">Differentiate between density-independent and density-dependent growth regulation factors. Based on the simulation you </w:t>
      </w:r>
      <w:proofErr w:type="gramStart"/>
      <w:r w:rsidRPr="00887C18">
        <w:rPr>
          <w:rFonts w:eastAsia="Times New Roman" w:cs="Calibri"/>
          <w:kern w:val="0"/>
          <w:sz w:val="24"/>
          <w:szCs w:val="20"/>
          <w14:ligatures w14:val="none"/>
        </w:rPr>
        <w:t>used,</w:t>
      </w:r>
      <w:proofErr w:type="gramEnd"/>
      <w:r w:rsidRPr="00887C18">
        <w:rPr>
          <w:rFonts w:eastAsia="Times New Roman" w:cs="Calibri"/>
          <w:kern w:val="0"/>
          <w:sz w:val="24"/>
          <w:szCs w:val="20"/>
          <w14:ligatures w14:val="none"/>
        </w:rPr>
        <w:t xml:space="preserve"> how did these factors affect the carrying capacity of the populations you observed?</w:t>
      </w:r>
    </w:p>
    <w:p w14:paraId="74F3741B" w14:textId="77777777" w:rsidR="00610110" w:rsidRDefault="00610110"/>
    <w:sectPr w:rsidR="006101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dobe Garamond Pro">
    <w:altName w:val="Garamond"/>
    <w:panose1 w:val="00000000000000000000"/>
    <w:charset w:val="4D"/>
    <w:family w:val="roman"/>
    <w:notTrueType/>
    <w:pitch w:val="variable"/>
    <w:sig w:usb0="00000007" w:usb1="00000001"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8777B7"/>
    <w:multiLevelType w:val="multilevel"/>
    <w:tmpl w:val="19704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1940844"/>
    <w:multiLevelType w:val="hybridMultilevel"/>
    <w:tmpl w:val="83105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FF5622"/>
    <w:multiLevelType w:val="multilevel"/>
    <w:tmpl w:val="50B49D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0B40C0"/>
    <w:multiLevelType w:val="multilevel"/>
    <w:tmpl w:val="84A092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513E56"/>
    <w:multiLevelType w:val="multilevel"/>
    <w:tmpl w:val="672A57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8C056D"/>
    <w:multiLevelType w:val="multilevel"/>
    <w:tmpl w:val="B524D4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9669811">
    <w:abstractNumId w:val="0"/>
  </w:num>
  <w:num w:numId="2" w16cid:durableId="828129802">
    <w:abstractNumId w:val="4"/>
  </w:num>
  <w:num w:numId="3" w16cid:durableId="1707825386">
    <w:abstractNumId w:val="3"/>
  </w:num>
  <w:num w:numId="4" w16cid:durableId="255478423">
    <w:abstractNumId w:val="5"/>
  </w:num>
  <w:num w:numId="5" w16cid:durableId="1324898395">
    <w:abstractNumId w:val="2"/>
  </w:num>
  <w:num w:numId="6" w16cid:durableId="1499417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18"/>
    <w:rsid w:val="000A701E"/>
    <w:rsid w:val="0020719A"/>
    <w:rsid w:val="003762AB"/>
    <w:rsid w:val="00610110"/>
    <w:rsid w:val="0061219F"/>
    <w:rsid w:val="007E474E"/>
    <w:rsid w:val="00887C18"/>
    <w:rsid w:val="009015B4"/>
    <w:rsid w:val="009811F7"/>
    <w:rsid w:val="00A94BDD"/>
    <w:rsid w:val="00AA556C"/>
    <w:rsid w:val="00CB0207"/>
    <w:rsid w:val="00FB7478"/>
    <w:rsid w:val="00FE1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D4387"/>
  <w15:chartTrackingRefBased/>
  <w15:docId w15:val="{7AD963D4-4C15-4A3C-BB80-7C8E84C04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7C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7C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7C1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7C1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87C1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87C1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87C1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87C1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87C1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C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7C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7C1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7C1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87C1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87C1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87C1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87C1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87C1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87C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7C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7C1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7C1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87C18"/>
    <w:pPr>
      <w:spacing w:before="160"/>
      <w:jc w:val="center"/>
    </w:pPr>
    <w:rPr>
      <w:i/>
      <w:iCs/>
      <w:color w:val="404040" w:themeColor="text1" w:themeTint="BF"/>
    </w:rPr>
  </w:style>
  <w:style w:type="character" w:customStyle="1" w:styleId="QuoteChar">
    <w:name w:val="Quote Char"/>
    <w:basedOn w:val="DefaultParagraphFont"/>
    <w:link w:val="Quote"/>
    <w:uiPriority w:val="29"/>
    <w:rsid w:val="00887C18"/>
    <w:rPr>
      <w:i/>
      <w:iCs/>
      <w:color w:val="404040" w:themeColor="text1" w:themeTint="BF"/>
    </w:rPr>
  </w:style>
  <w:style w:type="paragraph" w:styleId="ListParagraph">
    <w:name w:val="List Paragraph"/>
    <w:basedOn w:val="Normal"/>
    <w:uiPriority w:val="34"/>
    <w:qFormat/>
    <w:rsid w:val="00887C18"/>
    <w:pPr>
      <w:ind w:left="720"/>
      <w:contextualSpacing/>
    </w:pPr>
  </w:style>
  <w:style w:type="character" w:styleId="IntenseEmphasis">
    <w:name w:val="Intense Emphasis"/>
    <w:basedOn w:val="DefaultParagraphFont"/>
    <w:uiPriority w:val="21"/>
    <w:qFormat/>
    <w:rsid w:val="00887C18"/>
    <w:rPr>
      <w:i/>
      <w:iCs/>
      <w:color w:val="0F4761" w:themeColor="accent1" w:themeShade="BF"/>
    </w:rPr>
  </w:style>
  <w:style w:type="paragraph" w:styleId="IntenseQuote">
    <w:name w:val="Intense Quote"/>
    <w:basedOn w:val="Normal"/>
    <w:next w:val="Normal"/>
    <w:link w:val="IntenseQuoteChar"/>
    <w:uiPriority w:val="30"/>
    <w:qFormat/>
    <w:rsid w:val="00887C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7C18"/>
    <w:rPr>
      <w:i/>
      <w:iCs/>
      <w:color w:val="0F4761" w:themeColor="accent1" w:themeShade="BF"/>
    </w:rPr>
  </w:style>
  <w:style w:type="character" w:styleId="IntenseReference">
    <w:name w:val="Intense Reference"/>
    <w:basedOn w:val="DefaultParagraphFont"/>
    <w:uiPriority w:val="32"/>
    <w:qFormat/>
    <w:rsid w:val="00887C18"/>
    <w:rPr>
      <w:b/>
      <w:bCs/>
      <w:smallCaps/>
      <w:color w:val="0F4761" w:themeColor="accent1" w:themeShade="BF"/>
      <w:spacing w:val="5"/>
    </w:rPr>
  </w:style>
  <w:style w:type="paragraph" w:customStyle="1" w:styleId="Headers-Header1">
    <w:name w:val="Headers-&gt;Header 1"/>
    <w:qFormat/>
    <w:rsid w:val="00887C18"/>
    <w:pPr>
      <w:keepNext/>
      <w:tabs>
        <w:tab w:val="left" w:pos="360"/>
        <w:tab w:val="left" w:pos="720"/>
        <w:tab w:val="left" w:pos="1080"/>
        <w:tab w:val="left" w:pos="1440"/>
        <w:tab w:val="left" w:pos="1800"/>
      </w:tabs>
      <w:spacing w:before="360" w:after="90" w:line="240" w:lineRule="auto"/>
    </w:pPr>
    <w:rPr>
      <w:rFonts w:asciiTheme="minorHAnsi" w:eastAsia="Times New Roman" w:hAnsiTheme="minorHAnsi" w:cs="Myriad Pro"/>
      <w:b/>
      <w:caps/>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664</Words>
  <Characters>3786</Characters>
  <Application>Microsoft Office Word</Application>
  <DocSecurity>0</DocSecurity>
  <Lines>31</Lines>
  <Paragraphs>8</Paragraphs>
  <ScaleCrop>false</ScaleCrop>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Alethea Oriana Summerill</dc:creator>
  <cp:keywords/>
  <dc:description/>
  <cp:lastModifiedBy>Corinne Alethea Oriana Summerill</cp:lastModifiedBy>
  <cp:revision>5</cp:revision>
  <dcterms:created xsi:type="dcterms:W3CDTF">2024-12-19T18:57:00Z</dcterms:created>
  <dcterms:modified xsi:type="dcterms:W3CDTF">2024-12-19T19:02:00Z</dcterms:modified>
</cp:coreProperties>
</file>